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39" w:rsidRDefault="00BA2639"/>
    <w:p w:rsidR="00BA2639" w:rsidRDefault="00BA2639">
      <w:r>
        <w:rPr>
          <w:noProof/>
          <w:lang w:eastAsia="it-IT"/>
        </w:rPr>
        <w:drawing>
          <wp:inline distT="0" distB="0" distL="0" distR="0" wp14:anchorId="15B3BF14" wp14:editId="078BDC3D">
            <wp:extent cx="3291840" cy="1211580"/>
            <wp:effectExtent l="0" t="0" r="381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39" w:rsidRDefault="00BA2639">
      <w:r>
        <w:t>Dal sito web di EDUSCOPIO</w:t>
      </w:r>
    </w:p>
    <w:p w:rsidR="00BA2639" w:rsidRPr="00BA2639" w:rsidRDefault="00BA2639" w:rsidP="00BA2639">
      <w:pPr>
        <w:spacing w:after="0"/>
        <w:textAlignment w:val="baseline"/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</w:pP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L’idea di fondo del progetto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eduscopio.it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è proprio quella di valutare gli esiti successivi della formazione secondaria - i risultati universitari e lavorativi dei diplomati - per trarne delle indicazioni di qualità sull’offerta formativa delle scuole da cui essi provengono.</w:t>
      </w:r>
    </w:p>
    <w:p w:rsidR="00BA2639" w:rsidRPr="00BA2639" w:rsidRDefault="00BA2639" w:rsidP="00BA2639">
      <w:pPr>
        <w:spacing w:after="0"/>
        <w:textAlignment w:val="baseline"/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</w:pP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Per farlo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eduscopio.it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si avvale dei dati amministrativi relativi alle carriere universitarie e lavorative dei singoli diplomati raccolti dai Ministeri competenti. A partire da queste informazioni vengono costruiti degli indicatori rigorosi, ma allo stesso tempo comprensibili a tutti, che consentono di comparare le scuole in base ai risultati raggiunti dai propri diplomati.</w:t>
      </w:r>
    </w:p>
    <w:p w:rsidR="00BA2639" w:rsidRPr="00BA2639" w:rsidRDefault="00BA2639" w:rsidP="00BA2639">
      <w:pPr>
        <w:spacing w:after="0"/>
        <w:textAlignment w:val="baseline"/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</w:pP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In particolare, per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i percorsi universitari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dei diplomati,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eduscopio.it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guarda agli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esami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sostenuti, ai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crediti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acquisiti e ai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voti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ottenuti dagli studenti al primo anno di università, quello maggiormente influenzato dal lavoro fatto durante gli anni della scuola secondaria. Questi indicatori riflettono la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qualità delle “basi” formative, la bontà del metodo di studio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e l’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utilità dei suggerimenti orientativi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acquisiti nelle scuole di provenienza. In altre parole, i risultati universitari ci permettono di formulare un giudizio sulla qualità delle scuole secondarie superiori sulla base di informazioni che provengono da enti – gli atenei – che sono “terzi” rispetto alle scuole stesse, cioè imparziali, ma al tempo stesso molto interessati alla qualità delle competenze e delle conoscenze degli studenti.</w:t>
      </w:r>
    </w:p>
    <w:p w:rsidR="00BA2639" w:rsidRPr="00BA2639" w:rsidRDefault="00BA2639" w:rsidP="00BA2639">
      <w:pPr>
        <w:spacing w:after="0"/>
        <w:textAlignment w:val="baseline"/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</w:pP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Invece, per coloro che non proseguono gli studi e preferiscono entrare rapidamente nel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mondo del lavoro, eduscopio.it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verifica se hanno trovato un’occupazione, quanto rapidamente hanno ottenuto un contratto di durata significativa, se il lavoro ottenuto è coerente con gli studi compiuti o se invece è un lavoro qualsiasi. Infatti, la missione principale degli istituti tecnici e professionali è proprio quella di fornire competenze adeguate e immediatamente spendibili in termini lavorativi, curando in particolare la delicata fase di avvicinamento e ingresso al mondo del lavoro (transizione scuola-lavoro). Gli indicatori di </w:t>
      </w:r>
      <w:r w:rsidRPr="00BA2639">
        <w:rPr>
          <w:rFonts w:ascii="inherit" w:eastAsia="Times New Roman" w:hAnsi="inherit" w:cs="Times New Roman"/>
          <w:b/>
          <w:bCs/>
          <w:color w:val="6A6A61"/>
          <w:sz w:val="24"/>
          <w:szCs w:val="24"/>
          <w:bdr w:val="none" w:sz="0" w:space="0" w:color="auto" w:frame="1"/>
          <w:lang w:eastAsia="it-IT"/>
        </w:rPr>
        <w:t>eduscopio.it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rivelano quali scuole assolvono molto bene a questa missione e quali, invece, accusano ritardi.</w:t>
      </w:r>
    </w:p>
    <w:p w:rsidR="00BA2639" w:rsidRPr="00BA2639" w:rsidRDefault="00BA2639" w:rsidP="00BA2639">
      <w:pPr>
        <w:spacing w:after="0"/>
        <w:textAlignment w:val="baseline"/>
        <w:rPr>
          <w:rFonts w:ascii="Open Sans" w:eastAsia="Times New Roman" w:hAnsi="Open Sans" w:cs="Times New Roman"/>
          <w:b/>
          <w:bCs/>
          <w:color w:val="2FA8A7"/>
          <w:sz w:val="24"/>
          <w:szCs w:val="24"/>
          <w:lang w:eastAsia="it-IT"/>
        </w:rPr>
      </w:pPr>
      <w:r w:rsidRPr="00BA2639">
        <w:rPr>
          <w:rFonts w:ascii="Open Sans" w:eastAsia="Times New Roman" w:hAnsi="Open Sans" w:cs="Times New Roman"/>
          <w:b/>
          <w:bCs/>
          <w:color w:val="2FA8A7"/>
          <w:sz w:val="24"/>
          <w:szCs w:val="24"/>
          <w:lang w:eastAsia="it-IT"/>
        </w:rPr>
        <w:t>In definitiva, </w:t>
      </w:r>
      <w:r w:rsidRPr="00BA2639">
        <w:rPr>
          <w:rFonts w:ascii="inherit" w:eastAsia="Times New Roman" w:hAnsi="inherit" w:cs="Times New Roman"/>
          <w:b/>
          <w:bCs/>
          <w:color w:val="2FA8A7"/>
          <w:sz w:val="24"/>
          <w:szCs w:val="24"/>
          <w:bdr w:val="none" w:sz="0" w:space="0" w:color="auto" w:frame="1"/>
          <w:lang w:eastAsia="it-IT"/>
        </w:rPr>
        <w:t>eduscopio.it</w:t>
      </w:r>
      <w:r w:rsidRPr="00BA2639">
        <w:rPr>
          <w:rFonts w:ascii="Open Sans" w:eastAsia="Times New Roman" w:hAnsi="Open Sans" w:cs="Times New Roman"/>
          <w:b/>
          <w:bCs/>
          <w:color w:val="2FA8A7"/>
          <w:sz w:val="24"/>
          <w:szCs w:val="24"/>
          <w:lang w:eastAsia="it-IT"/>
        </w:rPr>
        <w:t> offre informazioni e dati comparabili che siano utili:</w:t>
      </w:r>
    </w:p>
    <w:p w:rsidR="00BA2639" w:rsidRPr="00BA2639" w:rsidRDefault="00BA2639" w:rsidP="00BA2639">
      <w:pPr>
        <w:numPr>
          <w:ilvl w:val="0"/>
          <w:numId w:val="2"/>
        </w:numPr>
        <w:spacing w:after="0"/>
        <w:ind w:left="0"/>
        <w:textAlignment w:val="baseline"/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</w:pPr>
      <w:r w:rsidRPr="00BA2639">
        <w:rPr>
          <w:rFonts w:ascii="inherit" w:eastAsia="Times New Roman" w:hAnsi="inherit" w:cs="Times New Roman"/>
          <w:b/>
          <w:bCs/>
          <w:color w:val="E13D50"/>
          <w:sz w:val="24"/>
          <w:szCs w:val="24"/>
          <w:bdr w:val="none" w:sz="0" w:space="0" w:color="auto" w:frame="1"/>
          <w:lang w:eastAsia="it-IT"/>
        </w:rPr>
        <w:t>agli studenti che terminano le scuole medie e alle loro famiglie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di modo che, una volta scelto l’indirizzo di scuola secondaria superiore, possano individuare quali istituti nella propria area di residenza soddisfino meglio le proprie aspettative di apprendimento;</w:t>
      </w:r>
    </w:p>
    <w:p w:rsidR="00BA2639" w:rsidRPr="00BA2639" w:rsidRDefault="00BA2639" w:rsidP="00BA2639">
      <w:pPr>
        <w:numPr>
          <w:ilvl w:val="0"/>
          <w:numId w:val="2"/>
        </w:numPr>
        <w:spacing w:after="0"/>
        <w:ind w:left="0"/>
        <w:textAlignment w:val="baseline"/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</w:pPr>
      <w:r w:rsidRPr="00BA2639">
        <w:rPr>
          <w:rFonts w:ascii="inherit" w:eastAsia="Times New Roman" w:hAnsi="inherit" w:cs="Times New Roman"/>
          <w:b/>
          <w:bCs/>
          <w:color w:val="E13D50"/>
          <w:sz w:val="24"/>
          <w:szCs w:val="24"/>
          <w:bdr w:val="none" w:sz="0" w:space="0" w:color="auto" w:frame="1"/>
          <w:lang w:eastAsia="it-IT"/>
        </w:rPr>
        <w:t>alle scuole stesse</w:t>
      </w:r>
      <w:r w:rsidRPr="00BA2639">
        <w:rPr>
          <w:rFonts w:ascii="Open Sans" w:eastAsia="Times New Roman" w:hAnsi="Open Sans" w:cs="Times New Roman"/>
          <w:color w:val="6A6A61"/>
          <w:sz w:val="24"/>
          <w:szCs w:val="24"/>
          <w:lang w:eastAsia="it-IT"/>
        </w:rPr>
        <w:t> di modo che siano maggiormente responsabilizzate rispetto a due fondamentali missioni formative – la preparazione e l’orientamento agli studi universitari e al lavoro - e possano finalmente conoscere gli esiti dei loro sforzi. Si tratta di informazioni che oggi si riescono a ottenere con difficoltà e quasi sempre in modo parziale e poco intuitivo, mentre possono dare spunti per riflettere sulla bontà dei propri sistemi di formazione e orientamento in uscita.</w:t>
      </w:r>
    </w:p>
    <w:p w:rsidR="00BA2639" w:rsidRPr="00BA2639" w:rsidRDefault="00BA2639" w:rsidP="00BA2639">
      <w:pPr>
        <w:rPr>
          <w:sz w:val="24"/>
          <w:szCs w:val="24"/>
        </w:rPr>
      </w:pPr>
    </w:p>
    <w:p w:rsidR="00BA2639" w:rsidRDefault="00BA2639"/>
    <w:p w:rsidR="00FB1838" w:rsidRDefault="002A2801" w:rsidP="00216461">
      <w:pPr>
        <w:ind w:left="-426"/>
      </w:pPr>
      <w:r>
        <w:rPr>
          <w:noProof/>
          <w:lang w:eastAsia="it-IT"/>
        </w:rPr>
        <w:lastRenderedPageBreak/>
        <w:drawing>
          <wp:inline distT="0" distB="0" distL="0" distR="0" wp14:anchorId="54D2314D" wp14:editId="398E2102">
            <wp:extent cx="6516303" cy="4013735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1933"/>
                    <a:stretch/>
                  </pic:blipFill>
                  <pic:spPr bwMode="auto">
                    <a:xfrm>
                      <a:off x="0" y="0"/>
                      <a:ext cx="6538600" cy="402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801" w:rsidRDefault="002A2801"/>
    <w:p w:rsidR="002A2801" w:rsidRDefault="002A2801"/>
    <w:p w:rsidR="002A2801" w:rsidRDefault="002A2801"/>
    <w:p w:rsidR="002A2801" w:rsidRDefault="002A2801" w:rsidP="00216461">
      <w:pPr>
        <w:ind w:left="-426"/>
      </w:pPr>
      <w:r>
        <w:rPr>
          <w:noProof/>
          <w:lang w:eastAsia="it-IT"/>
        </w:rPr>
        <w:drawing>
          <wp:inline distT="0" distB="0" distL="0" distR="0" wp14:anchorId="072D1B35" wp14:editId="719F1B75">
            <wp:extent cx="6545179" cy="3917482"/>
            <wp:effectExtent l="0" t="0" r="8255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8487"/>
                    <a:stretch/>
                  </pic:blipFill>
                  <pic:spPr bwMode="auto">
                    <a:xfrm>
                      <a:off x="0" y="0"/>
                      <a:ext cx="6564773" cy="392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801" w:rsidRDefault="002A2801"/>
    <w:p w:rsidR="002A2801" w:rsidRDefault="004F5689" w:rsidP="00216461">
      <w:pPr>
        <w:ind w:left="-426"/>
      </w:pPr>
      <w:r>
        <w:rPr>
          <w:noProof/>
          <w:lang w:eastAsia="it-IT"/>
        </w:rPr>
        <w:drawing>
          <wp:inline distT="0" distB="0" distL="0" distR="0" wp14:anchorId="35D196F9" wp14:editId="44999A82">
            <wp:extent cx="6448927" cy="4206240"/>
            <wp:effectExtent l="0" t="0" r="9525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7647"/>
                    <a:stretch/>
                  </pic:blipFill>
                  <pic:spPr bwMode="auto">
                    <a:xfrm>
                      <a:off x="0" y="0"/>
                      <a:ext cx="6455996" cy="421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461" w:rsidRDefault="00216461"/>
    <w:p w:rsidR="00216461" w:rsidRDefault="00216461">
      <w:r>
        <w:t>Legenda</w:t>
      </w:r>
    </w:p>
    <w:p w:rsidR="002A2801" w:rsidRDefault="002A2801" w:rsidP="002A2801">
      <w:pPr>
        <w:ind w:left="360"/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 wp14:anchorId="3CE7DE8C" wp14:editId="265173F5">
            <wp:extent cx="518160" cy="4038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801">
        <w:rPr>
          <w:rFonts w:ascii="Open Sans" w:hAnsi="Open Sans"/>
          <w:color w:val="000000"/>
          <w:sz w:val="20"/>
          <w:szCs w:val="20"/>
          <w:shd w:val="clear" w:color="auto" w:fill="FFFFFF"/>
        </w:rPr>
        <w:t>L’Indice di Occupazione ci dice qual è la percentuale degli occupati (coloro che hanno lavorato almeno 6 mesi entro i primi due anni dal conseguimento dal diploma), su coloro che NON si sono immatricolati all’università (</w:t>
      </w:r>
      <w:proofErr w:type="spellStart"/>
      <w:r w:rsidRPr="002A2801">
        <w:rPr>
          <w:rFonts w:ascii="Open Sans" w:hAnsi="Open Sans"/>
          <w:color w:val="000000"/>
          <w:sz w:val="20"/>
          <w:szCs w:val="20"/>
          <w:shd w:val="clear" w:color="auto" w:fill="FFFFFF"/>
        </w:rPr>
        <w:t>occupati+sottoccupati+altro</w:t>
      </w:r>
      <w:proofErr w:type="spellEnd"/>
      <w:r w:rsidRPr="002A2801">
        <w:rPr>
          <w:rFonts w:ascii="Open Sans" w:hAnsi="Open Sans"/>
          <w:color w:val="000000"/>
          <w:sz w:val="20"/>
          <w:szCs w:val="20"/>
          <w:shd w:val="clear" w:color="auto" w:fill="FFFFFF"/>
        </w:rPr>
        <w:t>). Dunque, per valutare la capacità formativa della scuola in termini di inserimento lavorativo dei diplomati, ci concentriamo solo sui diplomati che hanno manifestato un interesse es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clusivo per il mondo del lavoro</w:t>
      </w:r>
    </w:p>
    <w:p w:rsidR="002A2801" w:rsidRDefault="002A2801" w:rsidP="002A2801">
      <w:pPr>
        <w:ind w:left="360"/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 wp14:anchorId="1DDA4257" wp14:editId="592FD042">
            <wp:extent cx="449580" cy="44196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801">
        <w:rPr>
          <w:rFonts w:ascii="Open Sans" w:hAnsi="Open Sans"/>
          <w:color w:val="000000"/>
          <w:sz w:val="20"/>
          <w:szCs w:val="20"/>
          <w:shd w:val="clear" w:color="auto" w:fill="FFFFFF"/>
        </w:rPr>
        <w:t>È la percentuale di diplomati che a 2 anni dal diploma lavorano e hanno una qualifica professionale perfettamente in linea con il titolo di studio conseguito. Non include coloro che lavorano ma hanno una qualifica professionale trasversale, cioè comune a più titoli di studio (ad es. commessi in attività commerciali di diversi settori merceologici), e per i quali non si può valutare con certezza il grado di coerenza; né ovviamente coloro che lavorano ma hanno una qualifica professionale non in linea con il proprio titolo di studio. </w:t>
      </w:r>
    </w:p>
    <w:p w:rsidR="004F5689" w:rsidRDefault="004F5689" w:rsidP="002A2801">
      <w:pPr>
        <w:ind w:left="360"/>
        <w:rPr>
          <w:rFonts w:ascii="Open Sans" w:hAnsi="Open Sans"/>
          <w:sz w:val="20"/>
          <w:szCs w:val="20"/>
        </w:rPr>
      </w:pPr>
    </w:p>
    <w:p w:rsidR="004F5689" w:rsidRPr="002A2801" w:rsidRDefault="004F5689" w:rsidP="002A2801">
      <w:pPr>
        <w:ind w:left="360"/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 w:rsidRPr="004F5689">
        <w:rPr>
          <w:rFonts w:ascii="Open Sans" w:hAnsi="Open Sans"/>
          <w:i/>
          <w:iCs/>
          <w:color w:val="000000"/>
          <w:sz w:val="19"/>
          <w:szCs w:val="19"/>
          <w:highlight w:val="magenta"/>
          <w:shd w:val="clear" w:color="auto" w:fill="F1F1F1"/>
        </w:rPr>
        <w:t>Diplomati in regola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  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È un indicatore che ci dice quanti studenti iscritti al primo anno in questa scuola hanno raggiunto senza bocciature il diploma 5 anni dopo. Se è alto, la scuola è molto inclusiva e gli studenti hanno avuto percorsi regolari. Se è basso, la scuola è molto selettiva e gli studenti sono incappati in bocciature e/o hanno abbandonato il corso di studi</w:t>
      </w:r>
      <w:bookmarkStart w:id="0" w:name="_GoBack"/>
      <w:bookmarkEnd w:id="0"/>
    </w:p>
    <w:sectPr w:rsidR="004F5689" w:rsidRPr="002A2801" w:rsidSect="00216461"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95F" w:rsidRDefault="00F6595F" w:rsidP="00BA2639">
      <w:pPr>
        <w:spacing w:after="0" w:line="240" w:lineRule="auto"/>
      </w:pPr>
      <w:r>
        <w:separator/>
      </w:r>
    </w:p>
  </w:endnote>
  <w:endnote w:type="continuationSeparator" w:id="0">
    <w:p w:rsidR="00F6595F" w:rsidRDefault="00F6595F" w:rsidP="00BA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95F" w:rsidRDefault="00F6595F" w:rsidP="00BA2639">
      <w:pPr>
        <w:spacing w:after="0" w:line="240" w:lineRule="auto"/>
      </w:pPr>
      <w:r>
        <w:separator/>
      </w:r>
    </w:p>
  </w:footnote>
  <w:footnote w:type="continuationSeparator" w:id="0">
    <w:p w:rsidR="00F6595F" w:rsidRDefault="00F6595F" w:rsidP="00BA2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6FB"/>
    <w:multiLevelType w:val="hybridMultilevel"/>
    <w:tmpl w:val="29D0851E"/>
    <w:lvl w:ilvl="0" w:tplc="1AA238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80EA9"/>
    <w:multiLevelType w:val="multilevel"/>
    <w:tmpl w:val="2CBC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801"/>
    <w:rsid w:val="00216461"/>
    <w:rsid w:val="002A2801"/>
    <w:rsid w:val="004F5689"/>
    <w:rsid w:val="00BA2639"/>
    <w:rsid w:val="00F6595F"/>
    <w:rsid w:val="00FB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80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2A280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A280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A26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639"/>
  </w:style>
  <w:style w:type="paragraph" w:styleId="Pidipagina">
    <w:name w:val="footer"/>
    <w:basedOn w:val="Normale"/>
    <w:link w:val="PidipaginaCarattere"/>
    <w:uiPriority w:val="99"/>
    <w:unhideWhenUsed/>
    <w:rsid w:val="00BA26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639"/>
  </w:style>
  <w:style w:type="paragraph" w:styleId="NormaleWeb">
    <w:name w:val="Normal (Web)"/>
    <w:basedOn w:val="Normale"/>
    <w:uiPriority w:val="99"/>
    <w:semiHidden/>
    <w:unhideWhenUsed/>
    <w:rsid w:val="00BA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A26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80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2A280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A280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A26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639"/>
  </w:style>
  <w:style w:type="paragraph" w:styleId="Pidipagina">
    <w:name w:val="footer"/>
    <w:basedOn w:val="Normale"/>
    <w:link w:val="PidipaginaCarattere"/>
    <w:uiPriority w:val="99"/>
    <w:unhideWhenUsed/>
    <w:rsid w:val="00BA26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639"/>
  </w:style>
  <w:style w:type="paragraph" w:styleId="NormaleWeb">
    <w:name w:val="Normal (Web)"/>
    <w:basedOn w:val="Normale"/>
    <w:uiPriority w:val="99"/>
    <w:semiHidden/>
    <w:unhideWhenUsed/>
    <w:rsid w:val="00BA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A26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Rita Bertucci</dc:creator>
  <cp:lastModifiedBy>Caterina Rita Bertucci</cp:lastModifiedBy>
  <cp:revision>2</cp:revision>
  <dcterms:created xsi:type="dcterms:W3CDTF">2022-09-27T03:58:00Z</dcterms:created>
  <dcterms:modified xsi:type="dcterms:W3CDTF">2022-09-27T04:24:00Z</dcterms:modified>
</cp:coreProperties>
</file>